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показателей деятельности учреждения в соответствии с Дополнением к соглашению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реализации подпункта «а» пункта 1 Указа Президента Российской Федерации от 07.05.2012 № 597 «О мероприятиях по реализации государственной социальной политики» за I квартал 2015 г.</w:t>
      </w:r>
    </w:p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культуры «Всероссийский художественный научно-реставрационный центр имени академика И.Э. Грабаря»</w:t>
      </w:r>
    </w:p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объема оказываемых государственных услуг (выполняемых работ)</w:t>
      </w:r>
    </w:p>
    <w:tbl>
      <w:tblPr>
        <w:tblStyle w:val="a5"/>
        <w:tblW w:w="0" w:type="auto"/>
        <w:jc w:val="center"/>
        <w:tblInd w:w="-2168" w:type="dxa"/>
        <w:tblLook w:val="04A0"/>
      </w:tblPr>
      <w:tblGrid>
        <w:gridCol w:w="3187"/>
        <w:gridCol w:w="3029"/>
        <w:gridCol w:w="1526"/>
        <w:gridCol w:w="1701"/>
        <w:gridCol w:w="1418"/>
        <w:gridCol w:w="1378"/>
        <w:gridCol w:w="1378"/>
      </w:tblGrid>
      <w:tr w:rsidR="00000000">
        <w:trPr>
          <w:trHeight w:val="135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 объема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государствен-ной услуги (план)</w:t>
            </w:r>
          </w:p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Объем государствен-ной услуги (исполнение)</w:t>
            </w:r>
          </w:p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Доля показателя 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Степень выполнения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Доля показателя с учетом степени выполнения</w:t>
            </w:r>
          </w:p>
        </w:tc>
      </w:tr>
      <w:tr w:rsidR="00000000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6=4/3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7=6*5</w:t>
            </w:r>
          </w:p>
        </w:tc>
      </w:tr>
      <w:tr w:rsidR="00000000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Работа по хранению, изучению, обеспечению сохранности и безопасности предметов Музейного фонда Российской Федерации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музейных предметов, единиц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Работа по осуществлению реставрации и консервации музейных предметов и музейных коллекций, книжных памятников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отреставрированных музейных предметов, единиц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0,5</w:t>
            </w:r>
          </w:p>
        </w:tc>
      </w:tr>
      <w:tr w:rsidR="00000000">
        <w:trPr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 (Nусл)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000000" w:rsidRDefault="00005D37">
      <w:pPr>
        <w:rPr>
          <w:lang w:val="en-US"/>
        </w:rPr>
      </w:pPr>
    </w:p>
    <w:p w:rsidR="00000000" w:rsidRDefault="00005D37">
      <w:pPr>
        <w:spacing w:after="0"/>
        <w:sectPr w:rsidR="000000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качества оказываемых государственных услуг (выполняемых работ)</w:t>
      </w:r>
    </w:p>
    <w:tbl>
      <w:tblPr>
        <w:tblStyle w:val="a5"/>
        <w:tblW w:w="14617" w:type="dxa"/>
        <w:jc w:val="center"/>
        <w:tblInd w:w="0" w:type="dxa"/>
        <w:tblLook w:val="04A0"/>
      </w:tblPr>
      <w:tblGrid>
        <w:gridCol w:w="1702"/>
        <w:gridCol w:w="3468"/>
        <w:gridCol w:w="1830"/>
        <w:gridCol w:w="1834"/>
        <w:gridCol w:w="1843"/>
        <w:gridCol w:w="1970"/>
        <w:gridCol w:w="1970"/>
      </w:tblGrid>
      <w:tr w:rsidR="00000000">
        <w:trPr>
          <w:trHeight w:val="115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услуги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Значение показателя качества (план)</w:t>
            </w:r>
          </w:p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Значение показателя качества (исполнение)</w:t>
            </w:r>
          </w:p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Степень выполнения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Доля показателя с учетом степени выполнения</w:t>
            </w:r>
          </w:p>
        </w:tc>
      </w:tr>
      <w:tr w:rsidR="0000000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6=4/3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7=5*6</w:t>
            </w:r>
          </w:p>
        </w:tc>
      </w:tr>
      <w:tr w:rsidR="00000000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Работа по осуществлению реставрации и консервации музейных предметов и музейных коллекций, книжных памятников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Динамика числа посетителей временных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0,333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Доля опубликованных после реставрации музейных предметов от числа отреставрированных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0,333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Динамика количества музейных предметов, прошедших научные и физико-химические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0,333</w:t>
            </w:r>
          </w:p>
        </w:tc>
      </w:tr>
      <w:tr w:rsidR="0000000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Всего (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кач)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000000" w:rsidRDefault="00005D37"/>
    <w:p w:rsidR="00000000" w:rsidRDefault="00005D37">
      <w:pPr>
        <w:spacing w:after="0"/>
        <w:sectPr w:rsidR="0000000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00000" w:rsidRDefault="00005D37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Доходы от оказания платных услуг</w:t>
      </w:r>
    </w:p>
    <w:tbl>
      <w:tblPr>
        <w:tblStyle w:val="a5"/>
        <w:tblW w:w="0" w:type="auto"/>
        <w:jc w:val="center"/>
        <w:tblInd w:w="-740" w:type="dxa"/>
        <w:tblLook w:val="04A0"/>
      </w:tblPr>
      <w:tblGrid>
        <w:gridCol w:w="3191"/>
        <w:gridCol w:w="1966"/>
        <w:gridCol w:w="2186"/>
      </w:tblGrid>
      <w:tr w:rsidR="0000000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I квартал </w:t>
            </w:r>
          </w:p>
        </w:tc>
      </w:tr>
      <w:tr w:rsidR="00000000">
        <w:trPr>
          <w:trHeight w:val="368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Доходы от оказания платных услуг, тыс.руб.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2014 год, факт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5264.24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2015 год, план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2500.00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2015 год, факт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2449.54</w:t>
            </w:r>
          </w:p>
        </w:tc>
      </w:tr>
      <w:tr w:rsidR="0000000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Рост доходов (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доход), 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-53,47</w:t>
            </w:r>
          </w:p>
        </w:tc>
      </w:tr>
      <w:tr w:rsidR="00000000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00000" w:rsidRDefault="00005D37"/>
    <w:p w:rsidR="00000000" w:rsidRDefault="00005D37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коэффициента эффективности работы учреждения</w:t>
      </w:r>
    </w:p>
    <w:tbl>
      <w:tblPr>
        <w:tblStyle w:val="a5"/>
        <w:tblW w:w="0" w:type="auto"/>
        <w:jc w:val="center"/>
        <w:tblInd w:w="3794" w:type="dxa"/>
        <w:tblLook w:val="04A0"/>
      </w:tblPr>
      <w:tblGrid>
        <w:gridCol w:w="3630"/>
      </w:tblGrid>
      <w:tr w:rsidR="00000000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Фактическая средняя заработная плата по учреждению за I квартал</w:t>
            </w:r>
          </w:p>
        </w:tc>
      </w:tr>
      <w:tr w:rsidR="00000000">
        <w:trPr>
          <w:trHeight w:val="474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36 069.00</w:t>
            </w:r>
          </w:p>
        </w:tc>
      </w:tr>
    </w:tbl>
    <w:p w:rsidR="00000000" w:rsidRDefault="00005D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6946"/>
        <w:gridCol w:w="4252"/>
      </w:tblGrid>
      <w:tr w:rsidR="00000000">
        <w:trPr>
          <w:trHeight w:val="44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коэффициента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0000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Выполнение утвержденных показателей объема оказываемых государственных услуг (выполнение работ)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усл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00000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Выполнение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утвержденных показателей качества оказания государственных услуг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00000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Рост доходов от оказания платных услуг по сравнению с предыдущим периодом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00000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0,7</w:t>
            </w:r>
          </w:p>
        </w:tc>
      </w:tr>
    </w:tbl>
    <w:p w:rsidR="00000000" w:rsidRDefault="00005D37">
      <w:pPr>
        <w:spacing w:after="0"/>
        <w:rPr>
          <w:rFonts w:ascii="Arial" w:hAnsi="Arial" w:cs="Arial"/>
          <w:b/>
          <w:sz w:val="20"/>
          <w:szCs w:val="20"/>
        </w:rPr>
        <w:sectPr w:rsidR="0000000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00000" w:rsidRDefault="0000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деятельности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962"/>
        <w:gridCol w:w="3262"/>
        <w:gridCol w:w="2999"/>
        <w:gridCol w:w="3084"/>
      </w:tblGrid>
      <w:tr w:rsidR="0000000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показателя, направления деятельности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показателя, перечень мероприятий</w:t>
            </w:r>
          </w:p>
        </w:tc>
      </w:tr>
      <w:tr w:rsidR="0000000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структурных реформ Учреждением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качества и расширение спектра государственных услуг в сфере культуры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Аттестован комиссией МК РФ один художника-реставратора,прошли стажирование два художника-рестовратора.</w:t>
            </w:r>
          </w:p>
        </w:tc>
      </w:tr>
      <w:tr w:rsidR="00000000">
        <w:trPr>
          <w:trHeight w:val="47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к культурному продукту путем информатизации отрасли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электронных библиотек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виртуальных музеев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Потготовлено техническое задание для проекта" виртуальный музей"</w:t>
            </w:r>
          </w:p>
        </w:tc>
      </w:tr>
      <w:tr w:rsidR="0000000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в информационно-телекоммуникационной сети «Интернет» наиболее популярных спектаклей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центров культурного развития в малых городах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России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конкурентной среды в отрасли культуры путем расширения грантовой поддержки творческих проектов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творческой самореализации граждан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Вовлечение населения в создание и продвижение культурного продукта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сферы культуры в формировании комфортной среды жизнедеятельности населенных пунктов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Популяризация территорий Российской Федерации во внутреннем и внешнем культурно-туристическом пространстве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13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ежеквартальных целевых показателей (индикаторов) развития учреждений и мер, обеспечивающих их достижение (указать выполнение к</w:t>
            </w:r>
            <w:r>
              <w:rPr>
                <w:rFonts w:ascii="Arial" w:hAnsi="Arial" w:cs="Arial"/>
                <w:sz w:val="20"/>
                <w:szCs w:val="20"/>
              </w:rPr>
              <w:t xml:space="preserve">аждого показателя, установленного планом мероприятий «дорожной картой», </w:t>
            </w:r>
            <w:r>
              <w:rPr>
                <w:rFonts w:ascii="Arial" w:hAnsi="Arial" w:cs="Arial"/>
                <w:sz w:val="20"/>
                <w:szCs w:val="20"/>
              </w:rPr>
              <w:br/>
              <w:t>за отчетный период)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отчетном периоде выполнено целевых показателе по хранению,изучению, обеспечение сохранности предметов Музейного фонда РФ в количистве-100 предметов,по реставрац</w:t>
            </w:r>
            <w:r>
              <w:rPr>
                <w:rFonts w:ascii="Arial" w:hAnsi="Arial" w:cs="Arial"/>
                <w:sz w:val="20"/>
                <w:szCs w:val="20"/>
              </w:rPr>
              <w:t xml:space="preserve">ии и консервации музейных предметов и музейных коллекций, книжных памятников в количестве-128 предметов </w:t>
            </w:r>
          </w:p>
        </w:tc>
      </w:tr>
      <w:tr w:rsidR="00000000">
        <w:trPr>
          <w:trHeight w:val="4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мероприятий по совершенствованию оплаты труда работников учреждений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>
              <w:rPr>
                <w:rStyle w:val="a6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Достижение показателя соотношения средней заработной платы работников учреждения и средней заработной платы по субъекту Российской Федерации в отчетном периоде, процентов: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3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учреждений культуры, всего человек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000000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в т.ч. 7 совместителей.</w:t>
            </w:r>
          </w:p>
        </w:tc>
      </w:tr>
      <w:tr w:rsidR="00000000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основных мероприятий, направленных на повышение эффективности и качества предоставляемых услуг учреждениями, связанных с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переходом на эффективный контракт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1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(изменение) показателей эффективности деятельности подведомственных федеральным органам государственной власти учреждений культуры и их руководителей (указать номер и дату действующего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правового акта)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Разработаны критерии оценки эффективности работы сотрудников Центра.Утверждено приказом № 06-04осн/15-12а от 27.03.2015</w:t>
            </w:r>
          </w:p>
        </w:tc>
      </w:tr>
      <w:tr w:rsidR="00000000">
        <w:trPr>
          <w:trHeight w:val="15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возможному привлечению на повышение заработной платы не менее одной трети </w:t>
            </w:r>
            <w:r>
              <w:rPr>
                <w:rFonts w:ascii="Arial" w:hAnsi="Arial" w:cs="Arial"/>
                <w:sz w:val="20"/>
                <w:szCs w:val="20"/>
              </w:rPr>
              <w:t>средств, получаемых за счет реорганизации неэффективных учреждений и реализации мероприятий, направленных на повышение эффективности бюджетных расходов, а также возможному привлечению средств от приносящей доход деятельности: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полученные за счет проведения мероприятий по оптимизации, тыс. рублей, из них: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000000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реструктуризации сети, тыс. рублей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оптимизации численности персонала, </w:t>
            </w:r>
            <w:r>
              <w:rPr>
                <w:rFonts w:ascii="Arial" w:hAnsi="Arial" w:cs="Arial"/>
                <w:sz w:val="20"/>
                <w:szCs w:val="20"/>
              </w:rPr>
              <w:t>в том числе административно-управленческого персонала, тыс. рублей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 тыс.руб.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 тыс.руб.</w:t>
            </w:r>
          </w:p>
        </w:tc>
      </w:tr>
      <w:tr w:rsidR="0000000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счет средств от приносящей </w:t>
            </w:r>
            <w:r>
              <w:rPr>
                <w:rFonts w:ascii="Arial" w:hAnsi="Arial" w:cs="Arial"/>
                <w:sz w:val="20"/>
                <w:szCs w:val="20"/>
              </w:rPr>
              <w:t>доход деятельности, тыс. рублей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 тыс.руб.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5 800,0 тыс.руб.</w:t>
            </w:r>
          </w:p>
        </w:tc>
      </w:tr>
      <w:tr w:rsidR="00000000">
        <w:trPr>
          <w:trHeight w:val="1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Объем средств, полученных за счет оптимизационных мероприятий и приносящей доход деятельности, который направлен на повышение оплаты труда работников в отчетном периоде, тыс. руб</w:t>
            </w:r>
            <w:r>
              <w:rPr>
                <w:rFonts w:ascii="Arial" w:hAnsi="Arial" w:cs="Arial"/>
                <w:iCs/>
                <w:sz w:val="20"/>
                <w:szCs w:val="20"/>
              </w:rPr>
              <w:t>лей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 тыс.руб.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6 800,0 тыс.руб.</w:t>
            </w:r>
          </w:p>
        </w:tc>
      </w:tr>
      <w:tr w:rsidR="00000000">
        <w:trPr>
          <w:trHeight w:val="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Проведение мероприятий по возможной оптимизации численности с учетом увеличения количества оказанных услуг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 xml:space="preserve">и проводимых институциональных изменений, обеспечивающих повышение качества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предоставления услуг, в отчетном периоде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4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Организация мероприятий по представлению руководителями учреждений сведений о доходах, об имуществе и обязательствах имущественного характера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2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руководителей подведомственных учреждений культуры, представивших сведения о доходах, об имуществе </w:t>
            </w:r>
            <w:r>
              <w:rPr>
                <w:rFonts w:ascii="Arial" w:hAnsi="Arial" w:cs="Arial"/>
                <w:sz w:val="20"/>
                <w:szCs w:val="20"/>
              </w:rPr>
              <w:br/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обязательствах имущественного характера, в соответствии </w:t>
            </w:r>
            <w:r>
              <w:rPr>
                <w:rFonts w:ascii="Arial" w:hAnsi="Arial" w:cs="Arial"/>
                <w:sz w:val="20"/>
                <w:szCs w:val="20"/>
              </w:rPr>
              <w:br/>
              <w:t>с Федеральным законом от 29 декабря 2012 г. № 280-ФЗ,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trHeight w:val="15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tabs>
                <w:tab w:val="left" w:pos="1134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размещении в сети Интернет на официальных сайтах федеральных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органов сведений о численности руководителей подведомственных учреждений культуры, представивших сведения о доходах, об имуществе </w:t>
            </w:r>
            <w:r>
              <w:rPr>
                <w:rFonts w:ascii="Arial" w:hAnsi="Arial" w:cs="Arial"/>
                <w:sz w:val="20"/>
                <w:szCs w:val="20"/>
              </w:rPr>
              <w:br/>
              <w:t>и обязательствах имущественного характера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2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 по обеспечению соответствия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работников обн</w:t>
            </w:r>
            <w:r>
              <w:rPr>
                <w:rFonts w:ascii="Arial" w:hAnsi="Arial" w:cs="Arial"/>
                <w:sz w:val="20"/>
                <w:szCs w:val="20"/>
              </w:rPr>
              <w:t xml:space="preserve">овленным квалификационным требованиям, </w:t>
            </w:r>
            <w:r>
              <w:rPr>
                <w:rFonts w:ascii="Arial" w:hAnsi="Arial" w:cs="Arial"/>
                <w:sz w:val="20"/>
                <w:szCs w:val="20"/>
              </w:rPr>
              <w:br/>
              <w:t>в том числе на основе повышения квалификации и переподготовки работников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Численность работников, запланированная для направления на повышение квалификации, переподготовку в отчетном периоде,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Численность работников, фактически прошедших повышение квалификации и переподготовку в отчетном периоде,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rPr>
          <w:trHeight w:val="7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Численность работников, планируемая для направления на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 xml:space="preserve">повышение квалификации и переподготовку на следующее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полугодие,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 в связи с введением эффективного контракта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Фактическая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численность работников учреждения,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000">
        <w:trPr>
          <w:trHeight w:val="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Численность работников, с которыми заключены трудовые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 xml:space="preserve">договоры (дополнительные соглашения к трудовым договорам) с использованием примерной формы трудового договора,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Проведение аттестации работников подведомственных учреждений культуры с последующим их переводом на эффективный контракт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Численность работников, подлежащих аттестации в отчетном периоде,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rPr>
          <w:trHeight w:val="5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Численность работников, прошедших аттестацию в отчетном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периоде,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0000">
        <w:trPr>
          <w:trHeight w:val="4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Численность работников, с которыми по итогам проведения 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  <w:t>аттестации заключены «эффективные контракты» в отчетном периоде,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Численность работников, подлежащих аттестации в следующем полугодии, единиц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отчета статистического наблюдения численности и оплаты труда работников Учреждения по форме федерального наблюдения «ЗП-культура»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 10 числа, за за отсчетным, путем заполнения и направления в Министерство в сроки, установленные для предоставления отчета,ГИВЦ Минкультуры России.</w:t>
            </w: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отчета об использовании средств субсидий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сроки предоставления месячной, квартальной и годовой бюджетной отчетности утвержденные приказом Министерства культуры РФ.</w:t>
            </w:r>
          </w:p>
        </w:tc>
      </w:tr>
      <w:tr w:rsidR="00000000">
        <w:trPr>
          <w:trHeight w:val="6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управленческой отчетности в соответствии с распоряжением Первого заместителя Министра культуры Российской Ф</w:t>
            </w:r>
            <w:r>
              <w:rPr>
                <w:rFonts w:ascii="Arial" w:hAnsi="Arial" w:cs="Arial"/>
                <w:sz w:val="20"/>
                <w:szCs w:val="20"/>
              </w:rPr>
              <w:t xml:space="preserve">едерации В.В. </w:t>
            </w:r>
            <w:r>
              <w:rPr>
                <w:rStyle w:val="spelle"/>
                <w:rFonts w:ascii="Arial" w:hAnsi="Arial" w:cs="Arial"/>
                <w:sz w:val="20"/>
                <w:szCs w:val="20"/>
              </w:rPr>
              <w:t>Аристархова</w:t>
            </w:r>
          </w:p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05.08.2013 № 6102-01-44/09-ВА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 не позднея 10 числа, за отчетным, путем заполнения и направления в Департамент культурного наследия на бумажном носители и в электронном виде.</w:t>
            </w:r>
          </w:p>
        </w:tc>
      </w:tr>
      <w:tr w:rsidR="00000000">
        <w:trPr>
          <w:trHeight w:val="60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r>
              <w:rPr>
                <w:rFonts w:ascii="Arial" w:hAnsi="Arial" w:cs="Arial"/>
                <w:sz w:val="20"/>
                <w:szCs w:val="20"/>
              </w:rPr>
              <w:t>в отчетных периодах 2015 года уровня средней заработной платы работников Учреждения на уровне не ниже достигнутого в соответствующих периодах 2014 года, руб.: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заработная плата работников Учреждения за I квартал 2014 г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заработная плата 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ботников Учреждения за I квартал 2015 г.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Соотношение, достигнутое в I квартал 2015 г , %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97,2 %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87,8 %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118,6 %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05D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97,4 %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эффективности работы учреждения Кэф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05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0000" w:rsidRDefault="00005D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000" w:rsidRDefault="00005D37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учреждения </w:t>
      </w:r>
      <w:r>
        <w:rPr>
          <w:sz w:val="28"/>
          <w:szCs w:val="28"/>
          <w:u w:val="single"/>
        </w:rPr>
        <w:t>          </w:t>
      </w:r>
      <w:r>
        <w:rPr>
          <w:sz w:val="28"/>
          <w:szCs w:val="28"/>
          <w:u w:val="single"/>
        </w:rPr>
        <w:t>                                      </w:t>
      </w:r>
    </w:p>
    <w:p w:rsidR="00000000" w:rsidRDefault="00005D37">
      <w:pPr>
        <w:pStyle w:val="consplusnonformat"/>
      </w:pPr>
      <w:r>
        <w:t xml:space="preserve">                                               (Должность, подпись, расшифровка подписи)</w:t>
      </w:r>
    </w:p>
    <w:p w:rsidR="00000000" w:rsidRDefault="00005D37">
      <w:pPr>
        <w:pStyle w:val="consplusnonformat"/>
      </w:pPr>
      <w:r>
        <w:rPr>
          <w:sz w:val="28"/>
          <w:szCs w:val="28"/>
        </w:rPr>
        <w:t xml:space="preserve">Главный бухгалтер учреждения </w:t>
      </w:r>
      <w:r>
        <w:rPr>
          <w:sz w:val="28"/>
          <w:szCs w:val="28"/>
          <w:u w:val="single"/>
        </w:rPr>
        <w:t>                                                   </w:t>
      </w:r>
    </w:p>
    <w:p w:rsidR="00000000" w:rsidRDefault="00005D37">
      <w:pPr>
        <w:pStyle w:val="consplusnonformat"/>
      </w:pPr>
      <w:r>
        <w:t xml:space="preserve">                                               </w:t>
      </w:r>
      <w:r>
        <w:t xml:space="preserve">          (подпись, расшифровка подписи)</w:t>
      </w:r>
    </w:p>
    <w:p w:rsidR="00000000" w:rsidRDefault="00005D37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Ответственный исполнитель __________________________ __________________________</w:t>
      </w:r>
    </w:p>
    <w:p w:rsidR="00005D37" w:rsidRDefault="00005D37">
      <w:pPr>
        <w:pStyle w:val="consplusnonformat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</w:t>
      </w:r>
      <w:r>
        <w:rPr>
          <w:sz w:val="22"/>
          <w:szCs w:val="22"/>
        </w:rPr>
        <w:t>(должность, подпись, расшифровка, телефон)</w:t>
      </w:r>
    </w:p>
    <w:sectPr w:rsidR="00005D37"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37" w:rsidRDefault="00005D37">
      <w:pPr>
        <w:spacing w:after="0" w:line="240" w:lineRule="auto"/>
      </w:pPr>
      <w:r>
        <w:separator/>
      </w:r>
    </w:p>
  </w:endnote>
  <w:endnote w:type="continuationSeparator" w:id="1">
    <w:p w:rsidR="00005D37" w:rsidRDefault="0000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37" w:rsidRDefault="00005D37">
      <w:pPr>
        <w:spacing w:after="0" w:line="240" w:lineRule="auto"/>
      </w:pPr>
      <w:r>
        <w:separator/>
      </w:r>
    </w:p>
  </w:footnote>
  <w:footnote w:type="continuationSeparator" w:id="1">
    <w:p w:rsidR="00005D37" w:rsidRDefault="00005D37">
      <w:pPr>
        <w:spacing w:after="0" w:line="240" w:lineRule="auto"/>
      </w:pPr>
      <w:r>
        <w:continuationSeparator/>
      </w:r>
    </w:p>
  </w:footnote>
  <w:footnote w:id="2">
    <w:p w:rsidR="00000000" w:rsidRDefault="00005D37">
      <w:pPr>
        <w:pStyle w:val="a7"/>
      </w:pPr>
      <w:r>
        <w:rPr>
          <w:rStyle w:val="a6"/>
        </w:rPr>
        <w:footnoteRef/>
      </w:r>
      <w:r>
        <w:t xml:space="preserve"> </w:t>
      </w:r>
      <w:r>
        <w:t>Не заполняется в связи с тем, что в 2015 году необходимо обеспечить в отчетных периодах 2015 года уровень средней заработной платы работников Учреждения на уровне не ниже достигнутого в соответствующих периодах 2014 года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2C"/>
    <w:rsid w:val="00005D37"/>
    <w:rsid w:val="0099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</w:style>
  <w:style w:type="character" w:customStyle="1" w:styleId="spelle">
    <w:name w:val="spelle"/>
    <w:basedOn w:val="a0"/>
  </w:style>
  <w:style w:type="paragraph" w:styleId="a7">
    <w:name w:val="footnote text"/>
    <w:basedOn w:val="a"/>
    <w:link w:val="a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</w:style>
  <w:style w:type="paragraph" w:customStyle="1" w:styleId="consplusnonformat">
    <w:name w:val="consplusnonformat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1615</Words>
  <Characters>9206</Characters>
  <Application>Microsoft Office Word</Application>
  <DocSecurity>0</DocSecurity>
  <Lines>76</Lines>
  <Paragraphs>21</Paragraphs>
  <ScaleCrop>false</ScaleCrop>
  <Company>Интеллект-Ресурс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дополнительной субсидии</dc:title>
  <dc:creator>Андрей Ноговицын</dc:creator>
  <cp:lastModifiedBy>Козеева</cp:lastModifiedBy>
  <cp:revision>2</cp:revision>
  <dcterms:created xsi:type="dcterms:W3CDTF">2015-05-27T08:24:00Z</dcterms:created>
  <dcterms:modified xsi:type="dcterms:W3CDTF">2015-05-27T08:24:00Z</dcterms:modified>
</cp:coreProperties>
</file>